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AA" w:rsidRDefault="008E32AA" w:rsidP="00F612EC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P1685 WG </w:t>
      </w:r>
      <w:r w:rsidR="00DA598D">
        <w:rPr>
          <w:rFonts w:eastAsia="Times New Roman"/>
        </w:rPr>
        <w:t xml:space="preserve">Membership </w:t>
      </w:r>
      <w:r>
        <w:rPr>
          <w:rFonts w:eastAsia="Times New Roman"/>
        </w:rPr>
        <w:t>Roster</w:t>
      </w:r>
    </w:p>
    <w:p w:rsidR="00F612EC" w:rsidRDefault="00F612EC" w:rsidP="00F612EC">
      <w:r>
        <w:t xml:space="preserve">Sponsored by the DASC (Design Automation </w:t>
      </w:r>
      <w:r w:rsidR="00EE7F5B">
        <w:t>Standards Committee).</w:t>
      </w:r>
    </w:p>
    <w:p w:rsidR="00EE7F5B" w:rsidRDefault="00EE7F5B" w:rsidP="00EE7F5B">
      <w:r>
        <w:t xml:space="preserve">IEEE P1685 (Standard for IP-XACT, Standard Structure for Packaging, Integrating, and Reusing IP within Tool Flows) </w:t>
      </w:r>
      <w:r w:rsidR="00DA598D">
        <w:t xml:space="preserve">currently has the following </w:t>
      </w:r>
      <w:r>
        <w:t>Officers and Members</w:t>
      </w:r>
      <w:r w:rsidR="00DA598D">
        <w:t>hip</w:t>
      </w:r>
      <w:r>
        <w:t>.</w:t>
      </w:r>
    </w:p>
    <w:p w:rsidR="00EE7F5B" w:rsidRDefault="00EE7F5B" w:rsidP="00EE7F5B">
      <w:pPr>
        <w:pStyle w:val="Heading2"/>
      </w:pPr>
      <w:r>
        <w:t>Officers</w:t>
      </w:r>
    </w:p>
    <w:p w:rsidR="00EE7F5B" w:rsidRDefault="00EE7F5B" w:rsidP="00EE7F5B">
      <w:r>
        <w:t>Chair: Mark Noll of Synopsys</w:t>
      </w:r>
    </w:p>
    <w:p w:rsidR="00EE7F5B" w:rsidRDefault="00EE7F5B" w:rsidP="00EE7F5B">
      <w:r>
        <w:t>Vice-Chair: Erwin de</w:t>
      </w:r>
      <w:r w:rsidR="00697A3E">
        <w:t xml:space="preserve"> </w:t>
      </w:r>
      <w:r>
        <w:t>Kock of NXP Semiconductors</w:t>
      </w:r>
    </w:p>
    <w:p w:rsidR="00EE7F5B" w:rsidRPr="00EE7F5B" w:rsidRDefault="00EE7F5B" w:rsidP="00EE7F5B">
      <w:r>
        <w:t>Secretary: David Courtright of AMD</w:t>
      </w:r>
    </w:p>
    <w:p w:rsidR="008E32AA" w:rsidRPr="008E32AA" w:rsidRDefault="008E32AA" w:rsidP="00F612EC">
      <w:pPr>
        <w:pStyle w:val="Heading2"/>
        <w:rPr>
          <w:rFonts w:eastAsia="Times New Roman"/>
          <w:sz w:val="24"/>
          <w:szCs w:val="24"/>
        </w:rPr>
      </w:pPr>
      <w:r w:rsidRPr="008E32AA">
        <w:rPr>
          <w:rFonts w:eastAsia="Times New Roman"/>
        </w:rPr>
        <w:t> </w:t>
      </w:r>
      <w:r w:rsidR="00F612EC">
        <w:rPr>
          <w:rFonts w:eastAsia="Times New Roman"/>
        </w:rPr>
        <w:t>Advanced Members</w:t>
      </w:r>
    </w:p>
    <w:tbl>
      <w:tblPr>
        <w:tblW w:w="1066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2980"/>
        <w:gridCol w:w="4480"/>
      </w:tblGrid>
      <w:tr w:rsidR="008E32AA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First Name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Last Name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Company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Email</w:t>
            </w:r>
          </w:p>
        </w:tc>
      </w:tr>
      <w:tr w:rsidR="008E32AA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Joe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Daniels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Accellera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8E32AA" w:rsidRPr="008E32A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Chippewea@aol.com</w:t>
              </w:r>
            </w:hyperlink>
          </w:p>
        </w:tc>
      </w:tr>
      <w:tr w:rsidR="008E32AA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David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Courtright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8E32AA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AMD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32AA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8E32AA" w:rsidRPr="008E32A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david.courtright@amd.com</w:t>
              </w:r>
            </w:hyperlink>
          </w:p>
        </w:tc>
      </w:tr>
      <w:tr w:rsidR="001A5579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5579" w:rsidRPr="00F612EC" w:rsidRDefault="001A5579" w:rsidP="005F4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Stephane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5579" w:rsidRPr="00F612EC" w:rsidRDefault="001A5579" w:rsidP="005F4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Guntz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5579" w:rsidRPr="00F612EC" w:rsidRDefault="001A5579" w:rsidP="005F4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Magillem Design Services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5579" w:rsidRPr="00F612EC" w:rsidRDefault="001A5579" w:rsidP="005F4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F612EC">
                <w:rPr>
                  <w:rStyle w:val="Hyperlink"/>
                  <w:rFonts w:ascii="Times New Roman" w:eastAsia="Times New Roman" w:hAnsi="Times New Roman" w:cs="Times New Roman"/>
                </w:rPr>
                <w:t>guntz@magillem.com</w:t>
              </w:r>
            </w:hyperlink>
          </w:p>
        </w:tc>
      </w:tr>
      <w:tr w:rsidR="001A5579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Erwin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de Kock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NXP Semiconductors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8E32A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erwin.de.kock@nxp.com</w:t>
              </w:r>
            </w:hyperlink>
          </w:p>
        </w:tc>
      </w:tr>
      <w:tr w:rsidR="001A5579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Richard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Weber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Semifore, Inc.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8E3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E32A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weber@semifore.com</w:t>
              </w:r>
            </w:hyperlink>
          </w:p>
        </w:tc>
      </w:tr>
      <w:tr w:rsidR="001A5579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Jamsheed</w:t>
            </w:r>
            <w:proofErr w:type="spellEnd"/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Agahi</w:t>
            </w:r>
            <w:proofErr w:type="spellEnd"/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Semifore, Inc.</w:t>
            </w:r>
            <w:r>
              <w:rPr>
                <w:rFonts w:ascii="Times New Roman" w:eastAsia="Times New Roman" w:hAnsi="Times New Roman" w:cs="Times New Roman"/>
              </w:rPr>
              <w:t xml:space="preserve"> (DRA)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AE1B0A">
                <w:rPr>
                  <w:rStyle w:val="Hyperlink"/>
                  <w:rFonts w:ascii="Times New Roman" w:eastAsia="Times New Roman" w:hAnsi="Times New Roman" w:cs="Times New Roman"/>
                </w:rPr>
                <w:t>jambabe@semifore.com</w:t>
              </w:r>
            </w:hyperlink>
          </w:p>
        </w:tc>
      </w:tr>
      <w:tr w:rsidR="001A5579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5579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Kamlesh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5579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Pathak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5579" w:rsidRDefault="001A5579" w:rsidP="00F61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1" w:history="1">
              <w:r w:rsidRPr="00AE1B0A">
                <w:rPr>
                  <w:rStyle w:val="Hyperlink"/>
                  <w:rFonts w:ascii="Times New Roman" w:eastAsia="Times New Roman" w:hAnsi="Times New Roman" w:cs="Times New Roman"/>
                </w:rPr>
                <w:t>kamlesh.pathak@st.com</w:t>
              </w:r>
            </w:hyperlink>
          </w:p>
        </w:tc>
      </w:tr>
      <w:tr w:rsidR="001A5579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Mark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Noll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Synopsys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8E32A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mark.noll@synopsys.com</w:t>
              </w:r>
            </w:hyperlink>
          </w:p>
        </w:tc>
      </w:tr>
      <w:tr w:rsidR="001A5579" w:rsidRPr="008E32AA" w:rsidTr="008E32AA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Prashant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Karandikar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Texas Instruments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5579" w:rsidRPr="008E32AA" w:rsidRDefault="001A5579" w:rsidP="00190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8E32A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prash@ti.com</w:t>
              </w:r>
            </w:hyperlink>
          </w:p>
        </w:tc>
      </w:tr>
    </w:tbl>
    <w:p w:rsidR="008E32AA" w:rsidRPr="008E32AA" w:rsidRDefault="00F612EC" w:rsidP="00F612EC">
      <w:pPr>
        <w:pStyle w:val="Heading2"/>
        <w:rPr>
          <w:rFonts w:eastAsia="Times New Roman"/>
          <w:sz w:val="24"/>
          <w:szCs w:val="24"/>
        </w:rPr>
      </w:pPr>
      <w:r>
        <w:rPr>
          <w:rFonts w:eastAsia="Times New Roman"/>
        </w:rPr>
        <w:t>Basic Members</w:t>
      </w:r>
      <w:r w:rsidR="008E32AA" w:rsidRPr="008E32AA">
        <w:rPr>
          <w:rFonts w:eastAsia="Times New Roman"/>
        </w:rPr>
        <w:t> </w:t>
      </w:r>
    </w:p>
    <w:tbl>
      <w:tblPr>
        <w:tblW w:w="1066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2980"/>
        <w:gridCol w:w="4480"/>
      </w:tblGrid>
      <w:tr w:rsidR="00F612EC" w:rsidRPr="008E32AA" w:rsidTr="0015719E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8E32AA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First Name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8E32AA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Last Name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8E32AA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Company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8E32AA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Email</w:t>
            </w:r>
          </w:p>
        </w:tc>
      </w:tr>
      <w:tr w:rsidR="00F612EC" w:rsidRPr="008E32AA" w:rsidTr="00F612E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F612EC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Edwin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F612EC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Dankert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F612EC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Duolog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F612EC" w:rsidRDefault="001A5579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F612EC" w:rsidRPr="00F612EC">
                <w:rPr>
                  <w:rStyle w:val="Hyperlink"/>
                  <w:rFonts w:ascii="Times New Roman" w:eastAsia="Times New Roman" w:hAnsi="Times New Roman" w:cs="Times New Roman"/>
                </w:rPr>
                <w:t>edwin.dankert@duolog.com</w:t>
              </w:r>
            </w:hyperlink>
          </w:p>
        </w:tc>
      </w:tr>
      <w:tr w:rsidR="00F612EC" w:rsidRPr="008E32AA" w:rsidTr="00F612EC">
        <w:trPr>
          <w:trHeight w:val="300"/>
        </w:trPr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F612EC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Jeffery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F612EC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Griffiths</w:t>
            </w:r>
          </w:p>
        </w:tc>
        <w:tc>
          <w:tcPr>
            <w:tcW w:w="2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F612EC" w:rsidRDefault="00F612EC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E32AA">
              <w:rPr>
                <w:rFonts w:ascii="Times New Roman" w:eastAsia="Times New Roman" w:hAnsi="Times New Roman" w:cs="Times New Roman"/>
              </w:rPr>
              <w:t>Duolog</w:t>
            </w:r>
            <w:r>
              <w:rPr>
                <w:rFonts w:ascii="Times New Roman" w:eastAsia="Times New Roman" w:hAnsi="Times New Roman" w:cs="Times New Roman"/>
              </w:rPr>
              <w:t xml:space="preserve"> (DRA)</w:t>
            </w:r>
          </w:p>
        </w:tc>
        <w:tc>
          <w:tcPr>
            <w:tcW w:w="4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12EC" w:rsidRPr="00F612EC" w:rsidRDefault="001A5579" w:rsidP="00157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F612EC" w:rsidRPr="00F612EC">
                <w:rPr>
                  <w:rStyle w:val="Hyperlink"/>
                  <w:rFonts w:ascii="Times New Roman" w:eastAsia="Times New Roman" w:hAnsi="Times New Roman" w:cs="Times New Roman"/>
                </w:rPr>
                <w:t>jeffery.griffiths@duolog.com</w:t>
              </w:r>
            </w:hyperlink>
          </w:p>
        </w:tc>
      </w:tr>
    </w:tbl>
    <w:p w:rsidR="009E53FF" w:rsidRDefault="009E53FF">
      <w:bookmarkStart w:id="0" w:name="_GoBack"/>
      <w:bookmarkEnd w:id="0"/>
    </w:p>
    <w:sectPr w:rsidR="009E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AA"/>
    <w:rsid w:val="00190955"/>
    <w:rsid w:val="001A5579"/>
    <w:rsid w:val="00697A3E"/>
    <w:rsid w:val="0089199F"/>
    <w:rsid w:val="008E32AA"/>
    <w:rsid w:val="009E53FF"/>
    <w:rsid w:val="00DA598D"/>
    <w:rsid w:val="00EE7F5B"/>
    <w:rsid w:val="00F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2A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12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2A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12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win.de.kock@nxp.com" TargetMode="External"/><Relationship Id="rId13" Type="http://schemas.openxmlformats.org/officeDocument/2006/relationships/hyperlink" Target="mailto:prash@t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ntz@magillem.com" TargetMode="External"/><Relationship Id="rId12" Type="http://schemas.openxmlformats.org/officeDocument/2006/relationships/hyperlink" Target="mailto:mark.noll@synopsys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avid.courtright@amd.com" TargetMode="External"/><Relationship Id="rId11" Type="http://schemas.openxmlformats.org/officeDocument/2006/relationships/hyperlink" Target="mailto:kamlesh.pathak@st.com" TargetMode="External"/><Relationship Id="rId5" Type="http://schemas.openxmlformats.org/officeDocument/2006/relationships/hyperlink" Target="mailto:Chippewea@aol.com" TargetMode="External"/><Relationship Id="rId15" Type="http://schemas.openxmlformats.org/officeDocument/2006/relationships/hyperlink" Target="mailto:jeffery.griffiths@duolog.com" TargetMode="External"/><Relationship Id="rId10" Type="http://schemas.openxmlformats.org/officeDocument/2006/relationships/hyperlink" Target="mailto:jambabe@semifo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er@semifore.com" TargetMode="External"/><Relationship Id="rId14" Type="http://schemas.openxmlformats.org/officeDocument/2006/relationships/hyperlink" Target="mailto:edwin.dankert@duolo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synopsys</cp:lastModifiedBy>
  <cp:revision>4</cp:revision>
  <dcterms:created xsi:type="dcterms:W3CDTF">2013-12-06T13:54:00Z</dcterms:created>
  <dcterms:modified xsi:type="dcterms:W3CDTF">2014-01-15T18:25:00Z</dcterms:modified>
</cp:coreProperties>
</file>