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Deletions shown in </w:t>
      </w:r>
      <w:r w:rsidRPr="00295A2F">
        <w:rPr>
          <w:rFonts w:ascii="Arial" w:hAnsi="Arial" w:cs="Arial"/>
          <w:strike/>
          <w:color w:val="FF0000"/>
          <w:sz w:val="20"/>
          <w:szCs w:val="20"/>
        </w:rPr>
        <w:t>strikethrough red font</w:t>
      </w:r>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Comments shown in </w:t>
      </w:r>
      <w:r>
        <w:rPr>
          <w:rFonts w:ascii="Arial" w:hAnsi="Arial" w:cs="Arial"/>
          <w:color w:val="008000"/>
          <w:sz w:val="20"/>
          <w:szCs w:val="20"/>
        </w:rPr>
        <w:t>green font</w:t>
      </w:r>
      <w:r>
        <w:rPr>
          <w:rFonts w:ascii="Arial" w:hAnsi="Arial" w:cs="Arial"/>
          <w:color w:val="000000"/>
          <w:sz w:val="20"/>
          <w:szCs w:val="20"/>
        </w:rPr>
        <w:t>.</w:t>
      </w:r>
      <w:proofErr w:type="gramEnd"/>
    </w:p>
    <w:p w:rsidR="00753A49" w:rsidRPr="0020373B" w:rsidRDefault="00753A49" w:rsidP="00295A2F">
      <w:pPr>
        <w:shd w:val="clear" w:color="auto" w:fill="FFFFFF"/>
        <w:spacing w:before="240" w:after="0" w:line="240" w:lineRule="auto"/>
        <w:rPr>
          <w:rFonts w:ascii="Arial" w:hAnsi="Arial" w:cs="Arial"/>
          <w:color w:val="000000"/>
          <w:sz w:val="20"/>
          <w:szCs w:val="20"/>
        </w:rPr>
      </w:pPr>
      <w:proofErr w:type="spellStart"/>
      <w:r>
        <w:rPr>
          <w:rFonts w:ascii="Arial" w:hAnsi="Arial" w:cs="Arial"/>
          <w:color w:val="008000"/>
          <w:sz w:val="20"/>
          <w:szCs w:val="20"/>
        </w:rPr>
        <w:t>Twiki</w:t>
      </w:r>
      <w:proofErr w:type="spellEnd"/>
      <w:r>
        <w:rPr>
          <w:rFonts w:ascii="Arial"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function_</w:t>
      </w:r>
      <w:proofErr w:type="gramStart"/>
      <w:r w:rsidRPr="0020373B">
        <w:rPr>
          <w:rFonts w:ascii="Arial" w:hAnsi="Arial" w:cs="Arial"/>
          <w:color w:val="000000"/>
          <w:sz w:val="20"/>
          <w:szCs w:val="20"/>
        </w:rPr>
        <w:t>specification</w:t>
      </w:r>
      <w:proofErr w:type="spellEnd"/>
      <w:r w:rsidRPr="0020373B">
        <w:rPr>
          <w:rFonts w:ascii="Arial" w:hAnsi="Arial" w:cs="Arial"/>
          <w:color w:val="000000"/>
          <w:sz w:val="20"/>
          <w:szCs w:val="20"/>
        </w:rPr>
        <w:t xml:space="preserve"> :</w:t>
      </w:r>
      <w:proofErr w:type="gramEnd"/>
      <w:r w:rsidRPr="0020373B">
        <w:rPr>
          <w:rFonts w:ascii="Arial" w:hAnsi="Arial" w:cs="Arial"/>
          <w:color w:val="000000"/>
          <w:sz w:val="20"/>
          <w:szCs w:val="20"/>
        </w:rPr>
        <w: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r w:rsidRPr="0020373B">
        <w:rPr>
          <w:rFonts w:ascii="Arial" w:hAnsi="Arial" w:cs="Arial"/>
          <w:b/>
          <w:bCs/>
          <w:color w:val="000000"/>
          <w:sz w:val="20"/>
          <w:szCs w:val="20"/>
        </w:rPr>
        <w:t>pure</w:t>
      </w:r>
      <w:proofErr w:type="gramEnd"/>
      <w:r w:rsidRPr="0020373B">
        <w:rPr>
          <w:rFonts w:ascii="Arial" w:hAnsi="Arial" w:cs="Arial"/>
          <w:b/>
          <w:bCs/>
          <w:color w:val="000000"/>
          <w:sz w:val="20"/>
          <w:szCs w:val="20"/>
        </w:rPr>
        <w:t>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proofErr w:type="gramEnd"/>
      <w:r w:rsidRPr="0020373B">
        <w:rPr>
          <w:rFonts w:ascii="Arial" w:hAnsi="Arial" w:cs="Arial"/>
          <w:color w:val="000000"/>
          <w:sz w:val="20"/>
          <w:szCs w:val="20"/>
        </w:rPr>
        <w:t> </w:t>
      </w:r>
      <w:r w:rsidRPr="0020373B">
        <w:rPr>
          <w:rFonts w:ascii="Arial" w:hAnsi="Arial" w:cs="Arial"/>
          <w:b/>
          <w:bCs/>
          <w:color w:val="000000"/>
          <w:sz w:val="20"/>
          <w:szCs w:val="20"/>
        </w:rPr>
        <w:t>parameter </w:t>
      </w:r>
      <w:r w:rsidRPr="0020373B">
        <w:rPr>
          <w:rFonts w:ascii="Arial" w:hAnsi="Arial" w:cs="Arial"/>
          <w:color w:val="000000"/>
          <w:sz w:val="20"/>
          <w:szCs w:val="20"/>
        </w:rPr>
        <w:t xml:space="preserve">]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w:t>
      </w:r>
      <w:r w:rsidRPr="0020373B">
        <w:rPr>
          <w:rFonts w:ascii="Arial" w:hAnsi="Arial" w:cs="Arial"/>
          <w:b/>
          <w:bCs/>
          <w:color w:val="000000"/>
          <w:sz w:val="20"/>
          <w:szCs w:val="20"/>
        </w:rPr>
        <w:t>return </w:t>
      </w:r>
      <w:r w:rsidRPr="0020373B">
        <w:rPr>
          <w:rFonts w:ascii="Arial" w:hAnsi="Arial" w:cs="Arial"/>
          <w:color w:val="FF0000"/>
          <w:sz w:val="20"/>
          <w:szCs w:val="20"/>
        </w:rPr>
        <w:t>[identifier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hAnsi="Arial" w:cs="Arial"/>
          <w:color w:val="FF0000"/>
          <w:sz w:val="20"/>
          <w:szCs w:val="20"/>
        </w:rPr>
        <w:t>the name that the function body may reference to retrieve attributes of the target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Pr="0020373B" w:rsidRDefault="0020373B" w:rsidP="00112FE0">
      <w:pPr>
        <w:shd w:val="clear" w:color="auto" w:fill="FFFFFF"/>
        <w:spacing w:before="240" w:after="0" w:line="240" w:lineRule="auto"/>
        <w:rPr>
          <w:rFonts w:ascii="Arial" w:hAnsi="Arial" w:cs="Arial"/>
          <w:color w:val="000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20373B" w:rsidRDefault="0020373B" w:rsidP="0020373B">
      <w:pPr>
        <w:shd w:val="clear" w:color="auto" w:fill="FFFFFF"/>
        <w:spacing w:before="240" w:after="0" w:line="240" w:lineRule="auto"/>
        <w:rPr>
          <w:rFonts w:ascii="Arial" w:hAnsi="Arial" w:cs="Arial"/>
          <w:color w:val="FF0000"/>
          <w:sz w:val="20"/>
          <w:szCs w:val="20"/>
        </w:rPr>
      </w:pPr>
      <w:r w:rsidRPr="0020373B">
        <w:rPr>
          <w:rFonts w:ascii="Arial" w:hAnsi="Arial" w:cs="Arial"/>
          <w:color w:val="FF0000"/>
          <w:sz w:val="20"/>
          <w:szCs w:val="20"/>
        </w:rPr>
        <w:t xml:space="preserve">If the specification of a function includes an identifier prior to the result subtype, that identifier can be used within the function body as if it was a formal input variable of the result subtype of the function. The only allowable action within the function body with this identifier is to retrieve attributes. The attributes returned are the attributes of the target to which the output of the function is assigning. </w:t>
      </w:r>
      <w:r w:rsidR="009645DF">
        <w:rPr>
          <w:rFonts w:ascii="Arial" w:hAnsi="Arial" w:cs="Arial"/>
          <w:color w:val="FF0000"/>
          <w:sz w:val="20"/>
          <w:szCs w:val="20"/>
        </w:rPr>
        <w:t>T</w:t>
      </w:r>
      <w:r w:rsidRPr="0020373B">
        <w:rPr>
          <w:rFonts w:ascii="Arial" w:hAnsi="Arial" w:cs="Arial"/>
          <w:color w:val="FF0000"/>
          <w:sz w:val="20"/>
          <w:szCs w:val="20"/>
        </w:rPr>
        <w:t xml:space="preserve">he named function </w:t>
      </w:r>
      <w:r w:rsidR="00D52961">
        <w:rPr>
          <w:rFonts w:ascii="Arial" w:hAnsi="Arial" w:cs="Arial"/>
          <w:color w:val="FF0000"/>
          <w:sz w:val="20"/>
          <w:szCs w:val="20"/>
        </w:rPr>
        <w:t xml:space="preserve">with result identifier </w:t>
      </w:r>
      <w:r w:rsidR="009645DF">
        <w:rPr>
          <w:rFonts w:ascii="Arial" w:hAnsi="Arial" w:cs="Arial"/>
          <w:color w:val="FF0000"/>
          <w:sz w:val="20"/>
          <w:szCs w:val="20"/>
        </w:rPr>
        <w:t>shall only be</w:t>
      </w:r>
      <w:r w:rsidRPr="0020373B">
        <w:rPr>
          <w:rFonts w:ascii="Arial" w:hAnsi="Arial" w:cs="Arial"/>
          <w:color w:val="FF0000"/>
          <w:sz w:val="20"/>
          <w:szCs w:val="20"/>
        </w:rPr>
        <w:t xml:space="preserve"> used in a context </w:t>
      </w:r>
      <w:r w:rsidR="00D52961">
        <w:rPr>
          <w:rFonts w:ascii="Arial" w:hAnsi="Arial" w:cs="Arial"/>
          <w:color w:val="FF0000"/>
          <w:sz w:val="20"/>
          <w:szCs w:val="20"/>
        </w:rPr>
        <w:t xml:space="preserve">that meets </w:t>
      </w:r>
      <w:r w:rsidR="002C25A4">
        <w:rPr>
          <w:rFonts w:ascii="Arial" w:hAnsi="Arial" w:cs="Arial"/>
          <w:color w:val="FF0000"/>
          <w:sz w:val="20"/>
          <w:szCs w:val="20"/>
        </w:rPr>
        <w:t xml:space="preserve">one of </w:t>
      </w:r>
      <w:r w:rsidR="00D52961">
        <w:rPr>
          <w:rFonts w:ascii="Arial" w:hAnsi="Arial" w:cs="Arial"/>
          <w:color w:val="FF0000"/>
          <w:sz w:val="20"/>
          <w:szCs w:val="20"/>
        </w:rPr>
        <w:t xml:space="preserve">the conditions </w:t>
      </w:r>
      <w:r w:rsidR="002C25A4">
        <w:rPr>
          <w:rFonts w:ascii="Arial" w:hAnsi="Arial" w:cs="Arial"/>
          <w:color w:val="FF0000"/>
          <w:sz w:val="20"/>
          <w:szCs w:val="20"/>
        </w:rPr>
        <w:t>of</w:t>
      </w:r>
      <w:r w:rsidR="00D52961">
        <w:rPr>
          <w:rFonts w:ascii="Arial" w:hAnsi="Arial" w:cs="Arial"/>
          <w:color w:val="FF0000"/>
          <w:sz w:val="20"/>
          <w:szCs w:val="20"/>
        </w:rPr>
        <w:t xml:space="preserve"> ‘</w:t>
      </w:r>
      <w:r w:rsidR="00D52961" w:rsidRPr="00D52961">
        <w:rPr>
          <w:rFonts w:ascii="Arial" w:hAnsi="Arial" w:cs="Arial"/>
          <w:color w:val="FF0000"/>
          <w:sz w:val="20"/>
          <w:szCs w:val="20"/>
        </w:rPr>
        <w:t>Determinable index range conditions</w:t>
      </w:r>
      <w:r w:rsidR="00D52961">
        <w:rPr>
          <w:rFonts w:ascii="Arial" w:hAnsi="Arial" w:cs="Arial"/>
          <w:color w:val="FF0000"/>
          <w:sz w:val="20"/>
          <w:szCs w:val="20"/>
        </w:rPr>
        <w:t>’</w:t>
      </w:r>
      <w:r w:rsidR="00D52961" w:rsidRPr="00D52961">
        <w:rPr>
          <w:rFonts w:ascii="Arial" w:hAnsi="Arial" w:cs="Arial"/>
          <w:color w:val="FF0000"/>
          <w:sz w:val="20"/>
          <w:szCs w:val="20"/>
        </w:rPr>
        <w:t xml:space="preserve"> </w:t>
      </w:r>
      <w:r w:rsidR="00D52961">
        <w:rPr>
          <w:rFonts w:ascii="Arial" w:hAnsi="Arial" w:cs="Arial"/>
          <w:color w:val="FF0000"/>
          <w:sz w:val="20"/>
          <w:szCs w:val="20"/>
        </w:rPr>
        <w:t xml:space="preserve">listed in section </w:t>
      </w:r>
      <w:r w:rsidR="00D52961" w:rsidRPr="00D52961">
        <w:rPr>
          <w:rFonts w:ascii="Arial" w:hAnsi="Arial" w:cs="Arial"/>
          <w:color w:val="FF0000"/>
          <w:sz w:val="20"/>
          <w:szCs w:val="20"/>
        </w:rPr>
        <w:t>9.3.3.3</w:t>
      </w:r>
      <w:r w:rsidR="002C25A4">
        <w:rPr>
          <w:rFonts w:ascii="Arial" w:hAnsi="Arial" w:cs="Arial"/>
          <w:color w:val="FF0000"/>
          <w:sz w:val="20"/>
          <w:szCs w:val="20"/>
        </w:rPr>
        <w:t>--</w:t>
      </w:r>
      <w:r w:rsidR="00D52961" w:rsidRPr="00D52961">
        <w:rPr>
          <w:rFonts w:ascii="Arial" w:hAnsi="Arial" w:cs="Arial"/>
          <w:color w:val="FF0000"/>
          <w:sz w:val="20"/>
          <w:szCs w:val="20"/>
        </w:rPr>
        <w:t>Array aggregates</w:t>
      </w:r>
      <w:r w:rsidR="00D52961">
        <w:rPr>
          <w:rFonts w:ascii="Arial" w:hAnsi="Arial" w:cs="Arial"/>
          <w:color w:val="FF0000"/>
          <w:sz w:val="20"/>
          <w:szCs w:val="20"/>
        </w:rPr>
        <w:t>.</w:t>
      </w:r>
      <w:r w:rsidRPr="0020373B">
        <w:rPr>
          <w:rFonts w:ascii="Arial" w:hAnsi="Arial" w:cs="Arial"/>
          <w:color w:val="FF0000"/>
          <w:sz w:val="20"/>
          <w:szCs w:val="20"/>
        </w:rPr>
        <w:t xml:space="preserve"> The attributes that may be referenced are:</w:t>
      </w:r>
    </w:p>
    <w:p w:rsidR="00112FE0" w:rsidRPr="00112FE0" w:rsidRDefault="0020373B" w:rsidP="00112FE0">
      <w:pPr>
        <w:pStyle w:val="ListParagraph"/>
        <w:numPr>
          <w:ilvl w:val="0"/>
          <w:numId w:val="1"/>
        </w:numPr>
        <w:shd w:val="clear" w:color="auto" w:fill="FFFFFF"/>
        <w:spacing w:before="240" w:after="0" w:line="240" w:lineRule="auto"/>
        <w:rPr>
          <w:rFonts w:ascii="Arial" w:hAnsi="Arial" w:cs="Arial"/>
          <w:color w:val="FF0000"/>
          <w:sz w:val="20"/>
          <w:szCs w:val="20"/>
        </w:rPr>
      </w:pPr>
      <w:r w:rsidRPr="00112FE0">
        <w:rPr>
          <w:rFonts w:ascii="Arial" w:hAnsi="Arial" w:cs="Arial"/>
          <w:color w:val="FF0000"/>
          <w:sz w:val="20"/>
          <w:szCs w:val="20"/>
        </w:rPr>
        <w:t>The elements BASE, LEFT, RIGHT, HIGH, LOW, ASCENDING, SUBTYPE defined in 16.2.2</w:t>
      </w:r>
      <w:r w:rsidR="00080FCF">
        <w:rPr>
          <w:rFonts w:ascii="Arial" w:hAnsi="Arial" w:cs="Arial"/>
          <w:color w:val="FF0000"/>
          <w:sz w:val="20"/>
          <w:szCs w:val="20"/>
        </w:rPr>
        <w:t xml:space="preserve"> (</w:t>
      </w:r>
      <w:r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Pr="00112FE0">
        <w:rPr>
          <w:rFonts w:ascii="Arial" w:hAnsi="Arial" w:cs="Arial"/>
          <w:color w:val="FF0000"/>
          <w:sz w:val="20"/>
          <w:szCs w:val="20"/>
        </w:rPr>
        <w:t>.</w:t>
      </w:r>
    </w:p>
    <w:p w:rsidR="0020373B" w:rsidRPr="00112FE0" w:rsidRDefault="0020373B" w:rsidP="00112FE0">
      <w:pPr>
        <w:pStyle w:val="ListParagraph"/>
        <w:numPr>
          <w:ilvl w:val="0"/>
          <w:numId w:val="1"/>
        </w:numPr>
        <w:shd w:val="clear" w:color="auto" w:fill="FFFFFF"/>
        <w:spacing w:before="240" w:after="0" w:line="240" w:lineRule="auto"/>
        <w:rPr>
          <w:rFonts w:ascii="Arial" w:hAnsi="Arial" w:cs="Arial"/>
          <w:color w:val="FF0000"/>
          <w:sz w:val="20"/>
          <w:szCs w:val="20"/>
        </w:rPr>
      </w:pPr>
      <w:r w:rsidRPr="00112FE0">
        <w:rPr>
          <w:rFonts w:ascii="Arial" w:hAnsi="Arial" w:cs="Arial"/>
          <w:color w:val="FF0000"/>
          <w:sz w:val="20"/>
          <w:szCs w:val="20"/>
        </w:rPr>
        <w:t>All attributes defined in 16.2.3 Predefined attributes of arrays</w:t>
      </w:r>
    </w:p>
    <w:p w:rsidR="0020373B" w:rsidRDefault="0020373B" w:rsidP="0020373B">
      <w:pPr>
        <w:shd w:val="clear" w:color="auto" w:fill="FFFFFF"/>
        <w:spacing w:before="240" w:after="0" w:line="240" w:lineRule="auto"/>
        <w:rPr>
          <w:rFonts w:ascii="Arial" w:hAnsi="Arial" w:cs="Arial"/>
          <w:color w:val="FF0000"/>
          <w:sz w:val="20"/>
          <w:szCs w:val="20"/>
        </w:rPr>
      </w:pPr>
      <w:r w:rsidRPr="0020373B">
        <w:rPr>
          <w:rFonts w:ascii="Arial" w:hAnsi="Arial" w:cs="Arial"/>
          <w:color w:val="FF0000"/>
          <w:sz w:val="20"/>
          <w:szCs w:val="20"/>
        </w:rPr>
        <w:t>It is an error to reference any other attributes.</w:t>
      </w:r>
    </w:p>
    <w:p w:rsidR="009645DF" w:rsidRPr="0020373B" w:rsidRDefault="009645DF" w:rsidP="009645DF">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4" w:name="_GoBack"/>
      <w:bookmarkEnd w:id="4"/>
      <w:r w:rsidRPr="0020373B">
        <w:rPr>
          <w:rFonts w:ascii="Arial" w:hAnsi="Arial" w:cs="Arial"/>
          <w:b/>
          <w:bCs/>
          <w:color w:val="630000"/>
          <w:sz w:val="25"/>
          <w:szCs w:val="25"/>
        </w:rPr>
        <w:lastRenderedPageBreak/>
        <w:t xml:space="preserve">LRM </w:t>
      </w:r>
      <w:r w:rsidRPr="009645DF">
        <w:rPr>
          <w:rFonts w:ascii="Arial" w:hAnsi="Arial" w:cs="Arial"/>
          <w:b/>
          <w:bCs/>
          <w:color w:val="630000"/>
          <w:sz w:val="25"/>
          <w:szCs w:val="25"/>
        </w:rPr>
        <w:t>9.3.3.3 Array aggregates</w:t>
      </w:r>
    </w:p>
    <w:p w:rsidR="009645DF" w:rsidRPr="0020373B" w:rsidRDefault="009645DF" w:rsidP="009645DF">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r w:rsidRPr="0020373B">
        <w:rPr>
          <w:rFonts w:ascii="Arial" w:hAnsi="Arial" w:cs="Arial"/>
          <w:b/>
          <w:bCs/>
          <w:color w:val="630000"/>
          <w:sz w:val="23"/>
          <w:szCs w:val="23"/>
        </w:rPr>
        <w:t>Page 1</w:t>
      </w:r>
      <w:r>
        <w:rPr>
          <w:rFonts w:ascii="Arial" w:hAnsi="Arial" w:cs="Arial"/>
          <w:b/>
          <w:bCs/>
          <w:color w:val="630000"/>
          <w:sz w:val="23"/>
          <w:szCs w:val="23"/>
        </w:rPr>
        <w:t>34</w:t>
      </w:r>
      <w:r w:rsidRPr="0020373B">
        <w:rPr>
          <w:rFonts w:ascii="Arial" w:hAnsi="Arial" w:cs="Arial"/>
          <w:b/>
          <w:bCs/>
          <w:color w:val="630000"/>
          <w:sz w:val="23"/>
          <w:szCs w:val="23"/>
        </w:rPr>
        <w:t xml:space="preserve"> middle of page</w:t>
      </w:r>
    </w:p>
    <w:p w:rsidR="009645DF" w:rsidRPr="009645DF" w:rsidRDefault="009645DF" w:rsidP="009645DF">
      <w:pPr>
        <w:shd w:val="clear" w:color="auto" w:fill="FFFFFF"/>
        <w:spacing w:before="240" w:after="0" w:line="240" w:lineRule="auto"/>
        <w:rPr>
          <w:rFonts w:ascii="Arial" w:hAnsi="Arial" w:cs="Arial"/>
          <w:color w:val="FF0000"/>
          <w:sz w:val="20"/>
          <w:szCs w:val="20"/>
        </w:rPr>
      </w:pPr>
      <w:r w:rsidRPr="009645DF">
        <w:rPr>
          <w:rFonts w:ascii="Arial" w:hAnsi="Arial" w:cs="Arial"/>
          <w:color w:val="000000"/>
          <w:sz w:val="20"/>
          <w:szCs w:val="20"/>
        </w:rPr>
        <w:t>The index range of an array aggregate that has an others choice shall be determinable from the context</w:t>
      </w:r>
      <w:r>
        <w:rPr>
          <w:rFonts w:ascii="Arial" w:hAnsi="Arial" w:cs="Arial"/>
          <w:color w:val="FF0000"/>
          <w:sz w:val="20"/>
          <w:szCs w:val="20"/>
        </w:rPr>
        <w:t xml:space="preserve"> by meeting one of the </w:t>
      </w:r>
      <w:r w:rsidRPr="009645DF">
        <w:rPr>
          <w:rFonts w:ascii="Arial" w:hAnsi="Arial" w:cs="Arial"/>
          <w:color w:val="FF0000"/>
          <w:sz w:val="20"/>
          <w:szCs w:val="20"/>
        </w:rPr>
        <w:t>Determinable index range</w:t>
      </w:r>
      <w:r>
        <w:rPr>
          <w:rFonts w:ascii="Arial" w:hAnsi="Arial" w:cs="Arial"/>
          <w:color w:val="FF0000"/>
          <w:sz w:val="20"/>
          <w:szCs w:val="20"/>
        </w:rPr>
        <w:t xml:space="preserve"> conditions</w:t>
      </w:r>
      <w:r>
        <w:rPr>
          <w:rFonts w:ascii="Arial" w:hAnsi="Arial" w:cs="Arial"/>
          <w:color w:val="000000"/>
          <w:sz w:val="20"/>
          <w:szCs w:val="20"/>
        </w:rPr>
        <w:t>.</w:t>
      </w:r>
      <w:r w:rsidRPr="009645DF">
        <w:rPr>
          <w:rFonts w:ascii="Arial" w:hAnsi="Arial" w:cs="Arial"/>
          <w:color w:val="000000"/>
          <w:sz w:val="20"/>
          <w:szCs w:val="20"/>
        </w:rPr>
        <w:t xml:space="preserve"> </w:t>
      </w:r>
      <w:r w:rsidRPr="009645DF">
        <w:rPr>
          <w:rFonts w:ascii="Arial" w:hAnsi="Arial" w:cs="Arial"/>
          <w:strike/>
          <w:color w:val="FF0000"/>
          <w:sz w:val="20"/>
          <w:szCs w:val="20"/>
        </w:rPr>
        <w:t>That</w:t>
      </w:r>
      <w:r w:rsidRPr="009645DF">
        <w:rPr>
          <w:rFonts w:ascii="Arial" w:hAnsi="Arial" w:cs="Arial"/>
          <w:strike/>
          <w:color w:val="FF0000"/>
          <w:sz w:val="20"/>
          <w:szCs w:val="20"/>
        </w:rPr>
        <w:t xml:space="preserve"> </w:t>
      </w:r>
      <w:r w:rsidRPr="009645DF">
        <w:rPr>
          <w:rFonts w:ascii="Arial" w:hAnsi="Arial" w:cs="Arial"/>
          <w:strike/>
          <w:color w:val="FF0000"/>
          <w:sz w:val="20"/>
          <w:szCs w:val="20"/>
        </w:rPr>
        <w:t>is, an array aggregate with an others choice shall appear only in one of the following contexts:</w:t>
      </w:r>
    </w:p>
    <w:p w:rsidR="009645DF" w:rsidRDefault="009645DF" w:rsidP="009645DF">
      <w:pPr>
        <w:shd w:val="clear" w:color="auto" w:fill="FFFFFF"/>
        <w:spacing w:before="240" w:after="0" w:line="240" w:lineRule="auto"/>
        <w:rPr>
          <w:rFonts w:ascii="Arial" w:hAnsi="Arial" w:cs="Arial"/>
          <w:color w:val="FF0000"/>
          <w:sz w:val="20"/>
          <w:szCs w:val="20"/>
        </w:rPr>
      </w:pPr>
      <w:r w:rsidRPr="009645DF">
        <w:rPr>
          <w:rFonts w:ascii="Arial" w:hAnsi="Arial" w:cs="Arial"/>
          <w:color w:val="FF0000"/>
          <w:sz w:val="20"/>
          <w:szCs w:val="20"/>
        </w:rPr>
        <w:t>Determinable index range</w:t>
      </w:r>
      <w:r>
        <w:rPr>
          <w:rFonts w:ascii="Arial" w:hAnsi="Arial" w:cs="Arial"/>
          <w:color w:val="FF0000"/>
          <w:sz w:val="20"/>
          <w:szCs w:val="20"/>
        </w:rPr>
        <w:t xml:space="preserve"> conditions:</w:t>
      </w:r>
    </w:p>
    <w:p w:rsidR="009645DF" w:rsidRPr="009645DF" w:rsidRDefault="009645DF" w:rsidP="009645DF">
      <w:pPr>
        <w:shd w:val="clear" w:color="auto" w:fill="FFFFFF"/>
        <w:spacing w:before="240" w:after="0" w:line="240" w:lineRule="auto"/>
        <w:rPr>
          <w:rFonts w:ascii="Arial" w:hAnsi="Arial" w:cs="Arial"/>
          <w:color w:val="000000"/>
          <w:sz w:val="20"/>
          <w:szCs w:val="20"/>
        </w:rPr>
      </w:pPr>
      <w:r w:rsidRPr="009645DF">
        <w:rPr>
          <w:rFonts w:ascii="Arial" w:hAnsi="Arial" w:cs="Arial"/>
          <w:color w:val="000000"/>
          <w:sz w:val="20"/>
          <w:szCs w:val="20"/>
        </w:rPr>
        <w:t>a) As an actual associated with a formal parameter, formal generic, or formal port (or member thereof),</w:t>
      </w:r>
      <w:r>
        <w:rPr>
          <w:rFonts w:ascii="Arial" w:hAnsi="Arial" w:cs="Arial"/>
          <w:color w:val="000000"/>
          <w:sz w:val="20"/>
          <w:szCs w:val="20"/>
        </w:rPr>
        <w:t xml:space="preserve"> </w:t>
      </w:r>
      <w:r w:rsidRPr="009645DF">
        <w:rPr>
          <w:rFonts w:ascii="Arial" w:hAnsi="Arial" w:cs="Arial"/>
          <w:color w:val="000000"/>
          <w:sz w:val="20"/>
          <w:szCs w:val="20"/>
        </w:rPr>
        <w:t>where either the formal (or the member) is declared to be of a fully constrained array subtype, or the</w:t>
      </w:r>
      <w:r>
        <w:rPr>
          <w:rFonts w:ascii="Arial" w:hAnsi="Arial" w:cs="Arial"/>
          <w:color w:val="000000"/>
          <w:sz w:val="20"/>
          <w:szCs w:val="20"/>
        </w:rPr>
        <w:t xml:space="preserve"> </w:t>
      </w:r>
      <w:r w:rsidRPr="009645DF">
        <w:rPr>
          <w:rFonts w:ascii="Arial" w:hAnsi="Arial" w:cs="Arial"/>
          <w:color w:val="000000"/>
          <w:sz w:val="20"/>
          <w:szCs w:val="20"/>
        </w:rPr>
        <w:t>formal designator is a slice name</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5" w:name="Page_21_Immediately_before_secti"/>
      <w:bookmarkStart w:id="6" w:name="LRM_4_2_2_2_Constant_and_variabl"/>
      <w:bookmarkStart w:id="7" w:name="LRM_4_2_2_3_Signal_parameters"/>
      <w:bookmarkStart w:id="8" w:name="LRM_12_2_Scope_of_Declarations"/>
      <w:bookmarkEnd w:id="5"/>
      <w:bookmarkEnd w:id="6"/>
      <w:bookmarkEnd w:id="7"/>
      <w:bookmarkEnd w:id="8"/>
      <w:r w:rsidRPr="0020373B">
        <w:rPr>
          <w:rFonts w:ascii="Arial" w:hAnsi="Arial" w:cs="Arial"/>
          <w:b/>
          <w:bCs/>
          <w:color w:val="630000"/>
          <w:sz w:val="25"/>
          <w:szCs w:val="25"/>
        </w:rPr>
        <w:t xml:space="preserve">LRM 12.2 </w:t>
      </w:r>
      <w:proofErr w:type="gramStart"/>
      <w:r w:rsidRPr="0020373B">
        <w:rPr>
          <w:rFonts w:ascii="Arial" w:hAnsi="Arial" w:cs="Arial"/>
          <w:b/>
          <w:bCs/>
          <w:color w:val="630000"/>
          <w:sz w:val="25"/>
          <w:szCs w:val="25"/>
        </w:rPr>
        <w:t>Scope</w:t>
      </w:r>
      <w:proofErr w:type="gramEnd"/>
      <w:r w:rsidRPr="0020373B">
        <w:rPr>
          <w:rFonts w:ascii="Arial" w:hAnsi="Arial" w:cs="Arial"/>
          <w:b/>
          <w:bCs/>
          <w:color w:val="630000"/>
          <w:sz w:val="25"/>
          <w:szCs w:val="25"/>
        </w:rPr>
        <w:t xml:space="preserve"> of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9" w:name="Page_186_middle_of_page"/>
      <w:bookmarkEnd w:id="9"/>
      <w:r w:rsidRPr="0020373B">
        <w:rPr>
          <w:rFonts w:ascii="Arial" w:hAnsi="Arial" w:cs="Arial"/>
          <w:b/>
          <w:bCs/>
          <w:color w:val="630000"/>
          <w:sz w:val="23"/>
          <w:szCs w:val="23"/>
        </w:rPr>
        <w:t>Page 186 middle of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h) A declaration that occurs immediately within a protected type declaration</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w:t>
      </w:r>
      <w:proofErr w:type="spellEnd"/>
      <w:r w:rsidRPr="0020373B">
        <w:rPr>
          <w:rFonts w:ascii="Arial" w:hAnsi="Arial" w:cs="Arial"/>
          <w:color w:val="000000"/>
          <w:sz w:val="20"/>
          <w:szCs w:val="20"/>
        </w:rPr>
        <w:t>) An architecture body</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FF0000"/>
          <w:sz w:val="20"/>
          <w:szCs w:val="20"/>
        </w:rPr>
        <w:t>j) A return identifier after the formal parameter declaration in a subprogram declaration or specification</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10" w:name="Annex_C_Syntax_Summary"/>
      <w:bookmarkStart w:id="11" w:name="LRM_Annex_C_Syntax_Summary_Chang"/>
      <w:bookmarkEnd w:id="10"/>
      <w:bookmarkEnd w:id="11"/>
      <w:r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2" w:name="Page_489_near_middle_of_the_page"/>
      <w:bookmarkEnd w:id="12"/>
      <w:r w:rsidRPr="0020373B">
        <w:rPr>
          <w:rFonts w:ascii="Arial" w:hAnsi="Arial" w:cs="Arial"/>
          <w:b/>
          <w:bCs/>
          <w:color w:val="630000"/>
          <w:sz w:val="23"/>
          <w:szCs w:val="23"/>
        </w:rPr>
        <w:t>Page 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interface_function_specification</w:t>
      </w:r>
      <w:proofErr w:type="spellEnd"/>
      <w:r w:rsidRPr="0020373B">
        <w:rPr>
          <w:rFonts w:ascii="Arial" w:hAnsi="Arial" w:cs="Arial"/>
          <w:color w:val="000000"/>
          <w:sz w:val="20"/>
          <w:szCs w:val="20"/>
        </w:rPr>
        <w:t xml:space="preserve">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xml:space="preserve"> ]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return </w:t>
      </w:r>
      <w:r w:rsidRPr="0020373B">
        <w:rPr>
          <w:rFonts w:ascii="Arial" w:hAnsi="Arial" w:cs="Arial"/>
          <w:color w:val="FF0000"/>
          <w:sz w:val="20"/>
          <w:szCs w:val="20"/>
        </w:rPr>
        <w:t>[identifier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D1551B" w:rsidRDefault="00D1551B"/>
    <w:sectPr w:rsidR="00D1551B">
      <w:pgSz w:w="12240" w:h="15840"/>
      <w:pgMar w:top="1440"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3B"/>
    <w:rsid w:val="00080FCF"/>
    <w:rsid w:val="00112FE0"/>
    <w:rsid w:val="001609A7"/>
    <w:rsid w:val="0020373B"/>
    <w:rsid w:val="00295A2F"/>
    <w:rsid w:val="002C25A4"/>
    <w:rsid w:val="00493CCB"/>
    <w:rsid w:val="004E5F09"/>
    <w:rsid w:val="005B3B76"/>
    <w:rsid w:val="005F5ED6"/>
    <w:rsid w:val="00655425"/>
    <w:rsid w:val="00664039"/>
    <w:rsid w:val="00753A49"/>
    <w:rsid w:val="007E5E9C"/>
    <w:rsid w:val="00877BAF"/>
    <w:rsid w:val="008E1A49"/>
    <w:rsid w:val="009575B9"/>
    <w:rsid w:val="009645DF"/>
    <w:rsid w:val="00A1673D"/>
    <w:rsid w:val="00A56B5A"/>
    <w:rsid w:val="00AC6C8D"/>
    <w:rsid w:val="00BB24DD"/>
    <w:rsid w:val="00C14270"/>
    <w:rsid w:val="00C32CFF"/>
    <w:rsid w:val="00C85B18"/>
    <w:rsid w:val="00CA7B06"/>
    <w:rsid w:val="00D1551B"/>
    <w:rsid w:val="00D52961"/>
    <w:rsid w:val="00E20902"/>
    <w:rsid w:val="00E47551"/>
    <w:rsid w:val="00E640CC"/>
    <w:rsid w:val="00F4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Kevin&amp;Kathleen</dc:creator>
  <cp:lastModifiedBy>Kevin&amp;Kathleen</cp:lastModifiedBy>
  <cp:revision>7</cp:revision>
  <cp:lastPrinted>2016-12-30T00:43:00Z</cp:lastPrinted>
  <dcterms:created xsi:type="dcterms:W3CDTF">2016-12-30T00:43:00Z</dcterms:created>
  <dcterms:modified xsi:type="dcterms:W3CDTF">2016-12-30T01:08:00Z</dcterms:modified>
</cp:coreProperties>
</file>