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t(p) = 0  if p fails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t(p) = 1 if p succeeds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 xml:space="preserve">nv(p) = 0 if p evaluates vacuously 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nv(p) = 1 if p evaluates nonvacuously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 xml:space="preserve">Note: for brevity in the tables: 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T= t(p)=1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F= t(p)=0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NV= nv(p)=1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 xml:space="preserve">VA= nv(p)=0 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  <w:t>Definition: nv(not p) (current LRM)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nv(not p) = nv(p)</w:t>
      </w:r>
    </w:p>
    <w:p>
      <w:pPr>
        <w:pStyle w:val="style0"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  <w:t>Definition: nv(p implies0 q) (current LRM)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nv(p implies0 q) = nv(p)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  <w:t>Definition: nv(p implies1 q) (new)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nv(p implies1 q) = t(p) &amp;&amp; nv(q)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  <w:t>Definition: nv(p implies2 q) (new)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nv(p implies2 q) = t(p) &amp;&amp; nv(p) &amp;&amp; nv(q)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tbl>
      <w:tblPr>
        <w:tblW w:type="dxa" w:w="10485"/>
        <w:tblBorders>
          <w:top w:color="000001" w:space="0" w:sz="12" w:val="single"/>
          <w:left w:color="000001" w:space="0" w:sz="12" w:val="single"/>
          <w:bottom w:color="000001" w:space="0" w:sz="12" w:val="single"/>
          <w:right w:color="000001" w:space="0" w:sz="12" w:val="single"/>
        </w:tblBorders>
        <w:jc w:val="left"/>
        <w:tblInd w:type="dxa" w:w="-135"/>
      </w:tblPr>
      <w:tblGrid>
        <w:gridCol w:w="960"/>
        <w:gridCol w:w="1965"/>
        <w:gridCol w:w="3645"/>
        <w:gridCol w:w="5355"/>
        <w:gridCol w:w="7065"/>
        <w:gridCol w:w="10485"/>
      </w:tblGrid>
      <w:tr>
        <w:trPr>
          <w:cantSplit w:val="off"/>
        </w:trPr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A" w:space="0" w:sz="2" w:val="double"/>
            </w:tcBorders>
            <w:shd w:fill="E5E5E5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q</w:t>
            </w:r>
          </w:p>
        </w:tc>
        <w:tc>
          <w:tcPr>
            <w:tcBorders>
              <w:top w:color="000001" w:space="0" w:sz="12" w:val="single"/>
              <w:left w:color="00000A" w:space="0" w:sz="2" w:val="double"/>
              <w:bottom w:color="000001" w:space="0" w:sz="12" w:val="single"/>
              <w:right w:color="000001" w:space="0" w:sz="12" w:val="single"/>
            </w:tcBorders>
            <w:shd w:fill="E5E5E5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implies0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implies1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implies2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CommenTs</w:t>
            </w:r>
          </w:p>
        </w:tc>
      </w:tr>
      <w:tr>
        <w:trPr>
          <w:cantSplit w:val="off"/>
        </w:trPr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implies0 seems wrong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implies0 seems wrong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implies0 seems wrong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implies0 seems wrong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I prefer implies2, </w:t>
            </w:r>
          </w:p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[Ben] Agree, matches</w:t>
            </w:r>
          </w:p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s|-&gt; q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I prefer implies2</w:t>
            </w:r>
          </w:p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[Ben] Agree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6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4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5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6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</w:tbl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</w:pPr>
      <w:r>
        <w:rPr>
          <w:sz w:val="20"/>
          <w:i/>
          <w:b/>
          <w:szCs w:val="20"/>
          <w:rFonts w:ascii="Courier New" w:cs="Courier New" w:hAnsi="Courier New"/>
        </w:rPr>
        <w:t xml:space="preserve">[Ben] What is the evaluation order for: </w:t>
        <w:br/>
        <w:t xml:space="preserve">    P1 implies P2 implies P3 </w:t>
      </w:r>
    </w:p>
    <w:p>
      <w:pPr>
        <w:pStyle w:val="style0"/>
      </w:pPr>
      <w:r>
        <w:rPr>
          <w:sz w:val="20"/>
          <w:i/>
          <w:b/>
          <w:szCs w:val="20"/>
          <w:rFonts w:ascii="Courier New" w:cs="Courier New" w:hAnsi="Courier New"/>
        </w:rPr>
        <w:t xml:space="preserve">Option1: P1 implies (P2 implies P3)  // My preference as it emulates the </w:t>
        <w:br/>
        <w:t xml:space="preserve">         S1 |-&gt; S2 |-&gt; P3           // (S1 |-&gt; S2) |-&gt; P3 // is illegal </w:t>
      </w:r>
    </w:p>
    <w:p>
      <w:pPr>
        <w:pStyle w:val="style0"/>
      </w:pPr>
      <w:r>
        <w:rPr>
          <w:sz w:val="20"/>
          <w:i/>
          <w:b/>
          <w:szCs w:val="20"/>
          <w:rFonts w:ascii="Courier New" w:cs="Courier New" w:hAnsi="Courier New"/>
        </w:rPr>
        <w:t xml:space="preserve">Option2: (P1 implies P2) implies P3 // </w:t>
      </w:r>
    </w:p>
    <w:p>
      <w:pPr>
        <w:pStyle w:val="style0"/>
        <w:pageBreakBefore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  <w:t>Definition: nv(p or0 q) (current LRM)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nv(p or0 q) = max(nv(p), nv(q))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  <w:t xml:space="preserve">Definition: nv(p or1 q) (new) 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if t(p) = t(q) then nv(p or1 q) = max(nv(p), nv(q))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else if t(p)   then nv(p or1 q) = nv(p)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else                nv(p or1 q) = nv(q)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tbl>
      <w:tblPr>
        <w:tblBorders>
          <w:top w:color="000001" w:space="0" w:sz="12" w:val="single"/>
          <w:left w:color="000001" w:space="0" w:sz="12" w:val="single"/>
          <w:bottom w:color="000001" w:space="0" w:sz="12" w:val="single"/>
          <w:right w:color="000001" w:space="0" w:sz="12" w:val="single"/>
        </w:tblBorders>
        <w:jc w:val="left"/>
        <w:tblInd w:type="dxa" w:w="-108"/>
      </w:tblPr>
      <w:tblGrid>
        <w:gridCol w:w="937"/>
        <w:gridCol w:w="1934"/>
        <w:gridCol w:w="3617"/>
        <w:gridCol w:w="5326"/>
        <w:gridCol w:w="10458"/>
      </w:tblGrid>
      <w:tr>
        <w:trPr>
          <w:cantSplit w:val="off"/>
        </w:trPr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A" w:space="0" w:sz="2" w:val="double"/>
            </w:tcBorders>
            <w:shd w:fill="E5E5E5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q</w:t>
            </w:r>
          </w:p>
        </w:tc>
        <w:tc>
          <w:tcPr>
            <w:tcBorders>
              <w:top w:color="000001" w:space="0" w:sz="12" w:val="single"/>
              <w:left w:color="00000A" w:space="0" w:sz="2" w:val="double"/>
              <w:bottom w:color="000001" w:space="0" w:sz="12" w:val="single"/>
              <w:right w:color="000001" w:space="0" w:sz="12" w:val="single"/>
            </w:tcBorders>
            <w:shd w:fill="E5E5E5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or0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or1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CommenTs</w:t>
            </w:r>
          </w:p>
        </w:tc>
      </w:tr>
      <w:tr>
        <w:trPr>
          <w:cantSplit w:val="off"/>
        </w:trPr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I prefer or1 // [ben] yes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I prefer or1 // [ben] yes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</w:tbl>
    <w:p>
      <w:pPr>
        <w:pStyle w:val="style0"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</w:r>
    </w:p>
    <w:p>
      <w:pPr>
        <w:pStyle w:val="style0"/>
      </w:pPr>
      <w:r>
        <w:rPr>
          <w:sz w:val="20"/>
          <w:i/>
          <w:b/>
          <w:szCs w:val="20"/>
          <w:rFonts w:ascii="Courier New" w:cs="Courier New" w:hAnsi="Courier New"/>
        </w:rPr>
      </w:r>
    </w:p>
    <w:p>
      <w:pPr>
        <w:pStyle w:val="style0"/>
        <w:pageBreakBefore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  <w:t>Definition: nv(p and0 q) (current LRM)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nv(p and0 q) = max(nv(p), nv(q)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  <w:t>Definition: p and1 q (new)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ifT(p) = t(q) then nv(p and q) = min(nv(p), nv(q))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else if F(p)  then nv(p and q) = nv(p)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else                nv(p and q) = nv(q)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i/>
          <w:b/>
          <w:szCs w:val="20"/>
          <w:rFonts w:ascii="Courier New" w:cs="Courier New" w:hAnsi="Courier New"/>
        </w:rPr>
        <w:t>Definition: p and2 q (new)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if t(p) = t(q) then nv(p and q) = max(nv(p), nv(q))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else if F(p)  then nv(p and q) = nv(p)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>else                nv(p and q) = nv(q)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tbl>
      <w:tblPr>
        <w:tblBorders>
          <w:top w:color="000001" w:space="0" w:sz="12" w:val="single"/>
          <w:left w:color="000001" w:space="0" w:sz="12" w:val="single"/>
          <w:bottom w:color="000001" w:space="0" w:sz="12" w:val="single"/>
          <w:right w:color="000001" w:space="0" w:sz="12" w:val="single"/>
        </w:tblBorders>
        <w:jc w:val="left"/>
        <w:tblInd w:type="dxa" w:w="-108"/>
      </w:tblPr>
      <w:tblGrid>
        <w:gridCol w:w="937"/>
        <w:gridCol w:w="1934"/>
        <w:gridCol w:w="3617"/>
        <w:gridCol w:w="5326"/>
        <w:gridCol w:w="7035"/>
        <w:gridCol w:w="10457"/>
      </w:tblGrid>
      <w:tr>
        <w:trPr>
          <w:cantSplit w:val="off"/>
        </w:trPr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A" w:space="0" w:sz="2" w:val="double"/>
            </w:tcBorders>
            <w:shd w:fill="E5E5E5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q</w:t>
            </w:r>
          </w:p>
        </w:tc>
        <w:tc>
          <w:tcPr>
            <w:tcBorders>
              <w:top w:color="000001" w:space="0" w:sz="12" w:val="single"/>
              <w:left w:color="00000A" w:space="0" w:sz="2" w:val="double"/>
              <w:bottom w:color="000001" w:space="0" w:sz="12" w:val="single"/>
              <w:right w:color="000001" w:space="0" w:sz="12" w:val="single"/>
            </w:tcBorders>
            <w:shd w:fill="E5E5E5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and0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and1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and2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CommenTs</w:t>
            </w:r>
          </w:p>
        </w:tc>
      </w:tr>
      <w:tr>
        <w:trPr>
          <w:cantSplit w:val="off"/>
        </w:trPr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I prefer and0, and2 </w:t>
            </w:r>
          </w:p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[ben] yes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I prefer and1, and2</w:t>
            </w:r>
          </w:p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[ben] yes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I prefer and0, and2</w:t>
            </w:r>
          </w:p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[ben] yes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I prefer and1</w:t>
            </w:r>
          </w:p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[ben] yes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I prefer and1,and2</w:t>
            </w:r>
          </w:p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[ben] yes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I prefer and1</w:t>
            </w:r>
          </w:p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 xml:space="preserve">[ben] yes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</w:r>
          </w:p>
        </w:tc>
      </w:tr>
    </w:tbl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pageBreakBefore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 xml:space="preserve">Let’s look at how well the various </w:t>
      </w:r>
      <w:r>
        <w:rPr>
          <w:sz w:val="20"/>
          <w:i/>
          <w:b/>
          <w:szCs w:val="20"/>
          <w:rFonts w:ascii="Courier New" w:cs="Courier New" w:hAnsi="Courier New"/>
        </w:rPr>
        <w:t xml:space="preserve">and </w:t>
      </w:r>
      <w:r>
        <w:rPr>
          <w:sz w:val="20"/>
          <w:szCs w:val="20"/>
          <w:rFonts w:ascii="Courier New" w:cs="Courier New" w:hAnsi="Courier New"/>
        </w:rPr>
        <w:t xml:space="preserve">and </w:t>
      </w:r>
      <w:r>
        <w:rPr>
          <w:sz w:val="20"/>
          <w:i/>
          <w:b/>
          <w:szCs w:val="20"/>
          <w:rFonts w:ascii="Courier New" w:cs="Courier New" w:hAnsi="Courier New"/>
        </w:rPr>
        <w:t xml:space="preserve">or </w:t>
      </w:r>
      <w:r>
        <w:rPr>
          <w:sz w:val="20"/>
          <w:szCs w:val="20"/>
          <w:rFonts w:ascii="Courier New" w:cs="Courier New" w:hAnsi="Courier New"/>
        </w:rPr>
        <w:t xml:space="preserve">definitions work out as far as one example of semantic equivalence.  All rows in the table should be equivalent.  I have highlighted differences in the rows.  Based on these definitions it seems like we should select </w:t>
      </w:r>
      <w:r>
        <w:rPr>
          <w:sz w:val="20"/>
          <w:i/>
          <w:b/>
          <w:szCs w:val="20"/>
          <w:rFonts w:ascii="Courier New" w:cs="Courier New" w:hAnsi="Courier New"/>
        </w:rPr>
        <w:t>and2</w:t>
      </w:r>
      <w:r>
        <w:rPr>
          <w:sz w:val="20"/>
          <w:szCs w:val="20"/>
          <w:rFonts w:ascii="Courier New" w:cs="Courier New" w:hAnsi="Courier New"/>
        </w:rPr>
        <w:t xml:space="preserve"> and </w:t>
      </w:r>
      <w:r>
        <w:rPr>
          <w:sz w:val="20"/>
          <w:i/>
          <w:b/>
          <w:szCs w:val="20"/>
          <w:rFonts w:ascii="Courier New" w:cs="Courier New" w:hAnsi="Courier New"/>
        </w:rPr>
        <w:t>or1</w:t>
      </w:r>
      <w:r>
        <w:rPr>
          <w:sz w:val="20"/>
          <w:szCs w:val="20"/>
          <w:rFonts w:ascii="Courier New" w:cs="Courier New" w:hAnsi="Courier New"/>
        </w:rPr>
        <w:t xml:space="preserve">.  As seen from the table above there are a couple of cases where I am not totally satisfied with the definition of </w:t>
      </w:r>
      <w:r>
        <w:rPr>
          <w:sz w:val="20"/>
          <w:i/>
          <w:b/>
          <w:szCs w:val="20"/>
          <w:rFonts w:ascii="Courier New" w:cs="Courier New" w:hAnsi="Courier New"/>
        </w:rPr>
        <w:t>and2</w:t>
      </w:r>
      <w:r>
        <w:rPr>
          <w:sz w:val="20"/>
          <w:szCs w:val="20"/>
          <w:rFonts w:ascii="Courier New" w:cs="Courier New" w:hAnsi="Courier New"/>
        </w:rPr>
        <w:t>.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  <w:t xml:space="preserve">p </w:t>
      </w:r>
      <w:r>
        <w:rPr>
          <w:sz w:val="20"/>
          <w:b/>
          <w:szCs w:val="20"/>
          <w:bCs/>
          <w:rFonts w:ascii="Courier New" w:cs="Courier New" w:hAnsi="Courier New"/>
        </w:rPr>
        <w:t>and</w:t>
      </w:r>
      <w:r>
        <w:rPr>
          <w:sz w:val="20"/>
          <w:szCs w:val="20"/>
          <w:rFonts w:ascii="Courier New" w:cs="Courier New" w:hAnsi="Courier New"/>
        </w:rPr>
        <w:t xml:space="preserve"> q === </w:t>
      </w:r>
      <w:r>
        <w:rPr>
          <w:sz w:val="20"/>
          <w:b/>
          <w:szCs w:val="20"/>
          <w:bCs/>
          <w:rFonts w:ascii="Courier New" w:cs="Courier New" w:hAnsi="Courier New"/>
        </w:rPr>
        <w:t>not</w:t>
      </w:r>
      <w:r>
        <w:rPr>
          <w:sz w:val="20"/>
          <w:szCs w:val="20"/>
          <w:rFonts w:ascii="Courier New" w:cs="Courier New" w:hAnsi="Courier New"/>
        </w:rPr>
        <w:t>((</w:t>
      </w:r>
      <w:r>
        <w:rPr>
          <w:sz w:val="20"/>
          <w:b/>
          <w:szCs w:val="20"/>
          <w:bCs/>
          <w:rFonts w:ascii="Courier New" w:cs="Courier New" w:hAnsi="Courier New"/>
        </w:rPr>
        <w:t>not</w:t>
      </w:r>
      <w:r>
        <w:rPr>
          <w:sz w:val="20"/>
          <w:szCs w:val="20"/>
          <w:rFonts w:ascii="Courier New" w:cs="Courier New" w:hAnsi="Courier New"/>
        </w:rPr>
        <w:t xml:space="preserve"> p) </w:t>
      </w:r>
      <w:r>
        <w:rPr>
          <w:sz w:val="20"/>
          <w:b/>
          <w:szCs w:val="20"/>
          <w:bCs/>
          <w:rFonts w:ascii="Courier New" w:cs="Courier New" w:hAnsi="Courier New"/>
        </w:rPr>
        <w:t>or</w:t>
      </w:r>
      <w:r>
        <w:rPr>
          <w:sz w:val="20"/>
          <w:szCs w:val="20"/>
          <w:rFonts w:ascii="Courier New" w:cs="Courier New" w:hAnsi="Courier New"/>
        </w:rPr>
        <w:t xml:space="preserve"> (</w:t>
      </w:r>
      <w:r>
        <w:rPr>
          <w:sz w:val="20"/>
          <w:b/>
          <w:szCs w:val="20"/>
          <w:bCs/>
          <w:rFonts w:ascii="Courier New" w:cs="Courier New" w:hAnsi="Courier New"/>
        </w:rPr>
        <w:t>not</w:t>
      </w:r>
      <w:r>
        <w:rPr>
          <w:sz w:val="20"/>
          <w:szCs w:val="20"/>
          <w:rFonts w:ascii="Courier New" w:cs="Courier New" w:hAnsi="Courier New"/>
        </w:rPr>
        <w:t xml:space="preserve"> q))</w:t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tbl>
      <w:tblPr>
        <w:tblBorders>
          <w:top w:color="000001" w:space="0" w:sz="12" w:val="single"/>
          <w:left w:color="000001" w:space="0" w:sz="12" w:val="single"/>
          <w:bottom w:color="000001" w:space="0" w:sz="12" w:val="single"/>
          <w:right w:color="000001" w:space="0" w:sz="12" w:val="single"/>
        </w:tblBorders>
        <w:jc w:val="left"/>
        <w:tblInd w:type="dxa" w:w="-108"/>
      </w:tblPr>
      <w:tblGrid>
        <w:gridCol w:w="937"/>
        <w:gridCol w:w="1934"/>
        <w:gridCol w:w="3617"/>
        <w:gridCol w:w="5326"/>
        <w:gridCol w:w="7035"/>
        <w:gridCol w:w="8743"/>
        <w:gridCol w:w="10457"/>
      </w:tblGrid>
      <w:tr>
        <w:trPr>
          <w:cantSplit w:val="off"/>
        </w:trPr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A" w:space="0" w:sz="2" w:val="double"/>
            </w:tcBorders>
            <w:shd w:fill="E5E5E5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q</w:t>
            </w:r>
          </w:p>
        </w:tc>
        <w:tc>
          <w:tcPr>
            <w:tcBorders>
              <w:top w:color="000001" w:space="0" w:sz="12" w:val="single"/>
              <w:left w:color="00000A" w:space="0" w:sz="2" w:val="double"/>
              <w:bottom w:color="000001" w:space="0" w:sz="12" w:val="single"/>
              <w:right w:color="000001" w:space="0" w:sz="12" w:val="single"/>
            </w:tcBorders>
            <w:shd w:fill="E5E5E5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and0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and1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p and2 q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not((not p) or0 (not q))</w:t>
            </w:r>
          </w:p>
        </w:tc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E5E5E5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not((not p) or1 (not q))</w:t>
            </w:r>
          </w:p>
        </w:tc>
      </w:tr>
      <w:tr>
        <w:trPr>
          <w:cantSplit w:val="off"/>
        </w:trPr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FFFFF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FFFFF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F,VA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F,NV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FFFFF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hd w:fill="FFFF99"/>
                <w:szCs w:val="20"/>
                <w:rFonts w:ascii="Courier New" w:cs="Courier New" w:hAnsi="Courier New"/>
              </w:rPr>
              <w:t>T,NV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2DBDB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F,VA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F,NV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FFFFFF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DBDB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3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2" w:val="double"/>
            </w:tcBorders>
            <w:shd w:fill="auto"/>
            <w:tcW w:type="dxa" w:w="19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A" w:space="0" w:sz="2" w:val="double"/>
              <w:bottom w:color="000001" w:space="0" w:sz="4" w:val="single"/>
              <w:right w:color="000001" w:space="0" w:sz="4" w:val="single"/>
            </w:tcBorders>
            <w:shd w:fill="auto"/>
            <w:tcW w:type="dxa" w:w="361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32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87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1045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szCs w:val="20"/>
                <w:rFonts w:ascii="Courier New" w:cs="Courier New" w:hAnsi="Courier New"/>
              </w:rPr>
              <w:t>T,NV</w:t>
            </w:r>
          </w:p>
        </w:tc>
      </w:tr>
    </w:tbl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>
          <w:sz w:val="20"/>
          <w:szCs w:val="20"/>
          <w:rFonts w:ascii="Courier New" w:cs="Courier New" w:hAnsi="Courier New"/>
        </w:rPr>
      </w:r>
    </w:p>
    <w:p>
      <w:pPr>
        <w:pStyle w:val="style0"/>
        <w:spacing w:after="0" w:before="0" w:line="100" w:lineRule="atLeast"/>
      </w:pPr>
      <w:r>
        <w:rPr/>
      </w:r>
    </w:p>
    <w:sectPr>
      <w:formProt w:val="off"/>
      <w:pgSz w:h="15840" w:w="12240"/>
      <w:textDirection w:val="lrTb"/>
      <w:pgNumType w:fmt="decimal"/>
      <w:type w:val="nextPage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Document Map Char"/>
    <w:basedOn w:val="style15"/>
    <w:next w:val="style16"/>
    <w:rPr/>
  </w:style>
  <w:style w:styleId="style17" w:type="paragraph">
    <w:name w:val="Heading"/>
    <w:basedOn w:val="style0"/>
    <w:next w:val="style18"/>
    <w:pPr>
      <w:keepNext/>
      <w:spacing w:after="120" w:before="240"/>
    </w:pPr>
    <w:rPr>
      <w:sz w:val="28"/>
      <w:szCs w:val="28"/>
      <w:rFonts w:ascii="Liberation Sans" w:cs="DejaVu Sans" w:eastAsia="DejaVu Sans" w:hAnsi="Liberation Sans"/>
    </w:rPr>
  </w:style>
  <w:style w:styleId="style18" w:type="paragraph">
    <w:name w:val="Text body"/>
    <w:basedOn w:val="style0"/>
    <w:next w:val="style18"/>
    <w:pPr>
      <w:spacing w:after="120" w:before="0"/>
    </w:pPr>
    <w:rPr/>
  </w:style>
  <w:style w:styleId="style19" w:type="paragraph">
    <w:name w:val="List"/>
    <w:basedOn w:val="style18"/>
    <w:next w:val="style19"/>
    <w:pPr/>
    <w:rPr/>
  </w:style>
  <w:style w:styleId="style20" w:type="paragraph">
    <w:name w:val="Caption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Index"/>
    <w:basedOn w:val="style0"/>
    <w:next w:val="style21"/>
    <w:pPr>
      <w:suppressLineNumbers/>
    </w:pPr>
    <w:rPr/>
  </w:style>
  <w:style w:styleId="style22" w:type="paragraph">
    <w:name w:val="Document Map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2010-10-05T17:45:00.00Z</dcterms:created>
  <dc:creator>Scott Little</dc:creator>
  <cp:lastModifiedBy>Scott Little</cp:lastModifiedBy>
  <dcterms:modified xsi:type="dcterms:W3CDTF">2010-10-06T19:49:00.00Z</dcterms:modified>
  <cp:revision>31</cp:revision>
</cp:coreProperties>
</file>